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FA" w:rsidRDefault="00CA4CFA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145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 wuri handayan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66" cy="141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FA" w:rsidRPr="00CA4CFA" w:rsidRDefault="00CA4CFA" w:rsidP="00CA4C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CFA">
        <w:rPr>
          <w:rFonts w:ascii="Times New Roman" w:hAnsi="Times New Roman" w:cs="Times New Roman"/>
          <w:b/>
          <w:sz w:val="36"/>
          <w:szCs w:val="36"/>
        </w:rPr>
        <w:t>LAPORAN HASIL</w:t>
      </w:r>
    </w:p>
    <w:p w:rsidR="00E6427B" w:rsidRPr="00CA4CFA" w:rsidRDefault="00CA4CFA" w:rsidP="00E642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CFA">
        <w:rPr>
          <w:rFonts w:ascii="Times New Roman" w:hAnsi="Times New Roman" w:cs="Times New Roman"/>
          <w:b/>
          <w:sz w:val="36"/>
          <w:szCs w:val="36"/>
        </w:rPr>
        <w:t xml:space="preserve"> MONITORING DAN EVALUASI PENERAPAN TEKNOLOGI INFORMASI</w:t>
      </w:r>
      <w:r w:rsidR="00E6427B">
        <w:rPr>
          <w:rFonts w:ascii="Times New Roman" w:hAnsi="Times New Roman" w:cs="Times New Roman"/>
          <w:b/>
          <w:sz w:val="36"/>
          <w:szCs w:val="36"/>
        </w:rPr>
        <w:t xml:space="preserve"> LAYANAN PUBLIK SOP</w:t>
      </w:r>
      <w:bookmarkStart w:id="0" w:name="_GoBack"/>
      <w:bookmarkEnd w:id="0"/>
    </w:p>
    <w:p w:rsidR="00CA4CFA" w:rsidRPr="00CA4CFA" w:rsidRDefault="00CA4CFA" w:rsidP="00CA4C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CFA">
        <w:rPr>
          <w:rFonts w:ascii="Times New Roman" w:hAnsi="Times New Roman" w:cs="Times New Roman"/>
          <w:b/>
          <w:sz w:val="36"/>
          <w:szCs w:val="36"/>
        </w:rPr>
        <w:t>TATA LAKSANA ZI WBK PPPPTK BISPAR</w:t>
      </w: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FA" w:rsidRDefault="00CA4CFA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FA" w:rsidRDefault="00CA4CFA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89" w:rsidRPr="00CA4CFA" w:rsidRDefault="00CA4CFA" w:rsidP="00EC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FA">
        <w:rPr>
          <w:rFonts w:ascii="Times New Roman" w:hAnsi="Times New Roman" w:cs="Times New Roman"/>
          <w:b/>
          <w:sz w:val="28"/>
          <w:szCs w:val="28"/>
        </w:rPr>
        <w:t>KEMENTRIAN PENDIDIKAN DAN KEBUDAYAAN</w:t>
      </w:r>
    </w:p>
    <w:p w:rsidR="00CA4CFA" w:rsidRPr="00CA4CFA" w:rsidRDefault="00CA4CFA" w:rsidP="00EC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FA">
        <w:rPr>
          <w:rFonts w:ascii="Times New Roman" w:hAnsi="Times New Roman" w:cs="Times New Roman"/>
          <w:b/>
          <w:sz w:val="28"/>
          <w:szCs w:val="28"/>
        </w:rPr>
        <w:t>PPPPTK BISNIS DAN PARIWISATA</w:t>
      </w:r>
    </w:p>
    <w:p w:rsidR="00CA4CFA" w:rsidRPr="00CA4CFA" w:rsidRDefault="00CA4CFA" w:rsidP="00EC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FA">
        <w:rPr>
          <w:rFonts w:ascii="Times New Roman" w:hAnsi="Times New Roman" w:cs="Times New Roman"/>
          <w:b/>
          <w:sz w:val="28"/>
          <w:szCs w:val="28"/>
        </w:rPr>
        <w:t>2020</w:t>
      </w: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0E" w:rsidRDefault="007C210E" w:rsidP="00CA4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2E7889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Default="00FA32CA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</w:p>
    <w:p w:rsidR="00FA32CA" w:rsidRDefault="00FA32CA" w:rsidP="00EC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C3221" w:rsidRDefault="00EC3221" w:rsidP="00EC3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221" w:rsidRDefault="006D4E7E" w:rsidP="00EC322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D4E7E" w:rsidRDefault="006D4E7E" w:rsidP="006D4E7E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27" w:rsidRDefault="008D3227" w:rsidP="00B4325D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ya</w:t>
      </w:r>
      <w:r w:rsidR="007C210E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lain</w:t>
      </w:r>
      <w:r w:rsidR="0063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221" w:rsidRDefault="006353AB" w:rsidP="00B4325D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P</w:t>
      </w:r>
      <w:r w:rsidR="006D4E7E">
        <w:rPr>
          <w:rFonts w:ascii="Times New Roman" w:hAnsi="Times New Roman" w:cs="Times New Roman"/>
          <w:sz w:val="24"/>
          <w:szCs w:val="24"/>
        </w:rPr>
        <w:t>edoman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Pembangunan Zona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r w:rsidR="00E178BC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(WBK)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(WBBM) di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mengamanatkan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7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4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54D47">
        <w:rPr>
          <w:rFonts w:ascii="Times New Roman" w:hAnsi="Times New Roman" w:cs="Times New Roman"/>
          <w:sz w:val="24"/>
          <w:szCs w:val="24"/>
        </w:rPr>
        <w:t xml:space="preserve"> KKN.</w:t>
      </w:r>
    </w:p>
    <w:p w:rsidR="000D3C49" w:rsidRDefault="000D3C49" w:rsidP="00B4325D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446756" w:rsidRDefault="00554D47" w:rsidP="00554D47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r w:rsidR="002E7889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Permenpan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RB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D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SOP </w:t>
      </w:r>
      <w:r w:rsidR="007C210E">
        <w:rPr>
          <w:rFonts w:ascii="Times New Roman" w:hAnsi="Times New Roman" w:cs="Times New Roman"/>
          <w:sz w:val="24"/>
          <w:szCs w:val="24"/>
        </w:rPr>
        <w:t xml:space="preserve">di PPPPTK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C49" w:rsidRDefault="00710471" w:rsidP="00B4325D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PPPPTK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PPPPTK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C49" w:rsidRDefault="000D3C49" w:rsidP="00B4325D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7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1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7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71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7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SOP</w:t>
      </w:r>
      <w:r w:rsidR="0071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7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1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PPPPTK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Bispar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>.</w:t>
      </w:r>
    </w:p>
    <w:p w:rsidR="00694CC9" w:rsidRDefault="00694CC9" w:rsidP="00B4325D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F6">
        <w:rPr>
          <w:rFonts w:ascii="Times New Roman" w:hAnsi="Times New Roman" w:cs="Times New Roman"/>
          <w:sz w:val="24"/>
          <w:szCs w:val="24"/>
        </w:rPr>
        <w:t>SOP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304DD3" w:rsidRPr="000D3C49" w:rsidRDefault="00304DD3" w:rsidP="000D3C49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EC3221" w:rsidRDefault="00304DD3" w:rsidP="00EC322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:rsidR="007258CA" w:rsidRDefault="007258CA" w:rsidP="007258CA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D3" w:rsidRPr="007B00B7" w:rsidRDefault="00710471" w:rsidP="007B00B7">
      <w:pPr>
        <w:pStyle w:val="ListParagraph"/>
        <w:numPr>
          <w:ilvl w:val="0"/>
          <w:numId w:val="17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0B7">
        <w:rPr>
          <w:rFonts w:ascii="Times New Roman" w:hAnsi="Times New Roman" w:cs="Times New Roman"/>
          <w:sz w:val="24"/>
          <w:szCs w:val="24"/>
        </w:rPr>
        <w:t>PermenPAN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RB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10</w:t>
      </w:r>
      <w:r w:rsidR="00304DD3"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D3" w:rsidRPr="007B00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4DD3" w:rsidRPr="007B00B7">
        <w:rPr>
          <w:rFonts w:ascii="Times New Roman" w:hAnsi="Times New Roman" w:cs="Times New Roman"/>
          <w:sz w:val="24"/>
          <w:szCs w:val="24"/>
        </w:rPr>
        <w:t xml:space="preserve"> 201</w:t>
      </w:r>
      <w:r w:rsidRPr="007B00B7">
        <w:rPr>
          <w:rFonts w:ascii="Times New Roman" w:hAnsi="Times New Roman" w:cs="Times New Roman"/>
          <w:sz w:val="24"/>
          <w:szCs w:val="24"/>
        </w:rPr>
        <w:t>9</w:t>
      </w:r>
      <w:r w:rsidR="00304DD3"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D3" w:rsidRPr="007B00B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04DD3"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D3" w:rsidRPr="007B00B7">
        <w:rPr>
          <w:rFonts w:ascii="Times New Roman" w:hAnsi="Times New Roman" w:cs="Times New Roman"/>
          <w:sz w:val="24"/>
          <w:szCs w:val="24"/>
        </w:rPr>
        <w:t>P</w:t>
      </w:r>
      <w:r w:rsidRPr="007B00B7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Pembangunan Zona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>.</w:t>
      </w:r>
    </w:p>
    <w:p w:rsidR="00304DD3" w:rsidRPr="00304DD3" w:rsidRDefault="00304DD3" w:rsidP="00B4325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258CA" w:rsidRDefault="007258CA" w:rsidP="007258CA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7258CA" w:rsidRDefault="007258CA" w:rsidP="007258CA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DF6" w:rsidRPr="00BF4DF6" w:rsidRDefault="00710471" w:rsidP="00BF4DF6">
      <w:pPr>
        <w:pStyle w:val="ListParagraph"/>
        <w:numPr>
          <w:ilvl w:val="0"/>
          <w:numId w:val="1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2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2C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="00F2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SOP,</w:t>
      </w:r>
    </w:p>
    <w:p w:rsidR="007B00B7" w:rsidRDefault="007B00B7" w:rsidP="007B00B7">
      <w:pPr>
        <w:pStyle w:val="ListParagraph"/>
        <w:numPr>
          <w:ilvl w:val="0"/>
          <w:numId w:val="1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23C2C" w:rsidRPr="007B00B7">
        <w:rPr>
          <w:rFonts w:ascii="Times New Roman" w:hAnsi="Times New Roman" w:cs="Times New Roman"/>
          <w:sz w:val="24"/>
          <w:szCs w:val="24"/>
        </w:rPr>
        <w:t>engembangkan</w:t>
      </w:r>
      <w:proofErr w:type="spellEnd"/>
      <w:r w:rsidR="00F23C2C" w:rsidRPr="007B00B7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="00F23C2C" w:rsidRPr="007B00B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23C2C" w:rsidRPr="007B00B7">
        <w:rPr>
          <w:rFonts w:ascii="Times New Roman" w:hAnsi="Times New Roman" w:cs="Times New Roman"/>
          <w:sz w:val="24"/>
          <w:szCs w:val="24"/>
        </w:rPr>
        <w:t xml:space="preserve"> </w:t>
      </w:r>
      <w:r w:rsidR="002E7889" w:rsidRPr="007B00B7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 w:rsidRPr="007B00B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 w:rsidRPr="007B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 w:rsidRPr="007B00B7">
        <w:rPr>
          <w:rFonts w:ascii="Times New Roman" w:hAnsi="Times New Roman" w:cs="Times New Roman"/>
          <w:sz w:val="24"/>
          <w:szCs w:val="24"/>
        </w:rPr>
        <w:t>Pariwisata</w:t>
      </w:r>
      <w:proofErr w:type="spellEnd"/>
    </w:p>
    <w:p w:rsidR="002E7889" w:rsidRPr="007B00B7" w:rsidRDefault="00F23C2C" w:rsidP="007B00B7">
      <w:pPr>
        <w:pStyle w:val="ListParagraph"/>
        <w:numPr>
          <w:ilvl w:val="0"/>
          <w:numId w:val="1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0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B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r w:rsidR="002E7889" w:rsidRPr="007B00B7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 w:rsidRPr="007B00B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 w:rsidRPr="007B0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 w:rsidRPr="007B00B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SOP.</w:t>
      </w:r>
    </w:p>
    <w:p w:rsidR="00AF13BB" w:rsidRPr="007C210E" w:rsidRDefault="00F23C2C" w:rsidP="007C210E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8CA" w:rsidRPr="00725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3BB" w:rsidRPr="007258CA" w:rsidRDefault="00AF13BB" w:rsidP="00F23C2C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2C" w:rsidRDefault="00F23C2C" w:rsidP="00F23C2C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F23C2C" w:rsidRDefault="00F23C2C" w:rsidP="00F23C2C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2C" w:rsidRDefault="007C210E" w:rsidP="007C210E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F2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2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23C2C">
        <w:rPr>
          <w:rFonts w:ascii="Times New Roman" w:hAnsi="Times New Roman" w:cs="Times New Roman"/>
          <w:sz w:val="24"/>
          <w:szCs w:val="24"/>
        </w:rPr>
        <w:t xml:space="preserve"> </w:t>
      </w:r>
      <w:r w:rsidR="002E7889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F2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2C">
        <w:rPr>
          <w:rFonts w:ascii="Times New Roman" w:hAnsi="Times New Roman" w:cs="Times New Roman"/>
          <w:sz w:val="24"/>
          <w:szCs w:val="24"/>
        </w:rPr>
        <w:t>da</w:t>
      </w:r>
      <w:r w:rsidR="007B00B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7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>.</w:t>
      </w:r>
    </w:p>
    <w:p w:rsidR="007B00B7" w:rsidRDefault="007B00B7" w:rsidP="007B00B7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7B00B7" w:rsidRPr="007B00B7" w:rsidRDefault="007B00B7" w:rsidP="007B00B7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F23C2C" w:rsidRDefault="00F23C2C" w:rsidP="00F23C2C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</w:p>
    <w:p w:rsidR="00F23C2C" w:rsidRDefault="00F23C2C" w:rsidP="00F23C2C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2C" w:rsidRDefault="00F23C2C" w:rsidP="00B4325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889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Pariwisata</w:t>
      </w:r>
      <w:proofErr w:type="spellEnd"/>
    </w:p>
    <w:p w:rsidR="00FA32CA" w:rsidRDefault="007B00B7" w:rsidP="00B4325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r w:rsidR="002E7889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Pariwisata</w:t>
      </w:r>
      <w:proofErr w:type="spellEnd"/>
    </w:p>
    <w:p w:rsidR="00F23C2C" w:rsidRPr="00F23C2C" w:rsidRDefault="00F23C2C" w:rsidP="00B4325D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A32CA" w:rsidRDefault="00FA32CA" w:rsidP="00B4325D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Pr="00FA32CA" w:rsidRDefault="00FA32CA" w:rsidP="00FA3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C2C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</w:t>
      </w: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MONITORING DAN EVALUASI</w:t>
      </w:r>
    </w:p>
    <w:p w:rsidR="00FA32CA" w:rsidRDefault="00FA32CA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CA" w:rsidRPr="00EB6059" w:rsidRDefault="00FA32CA" w:rsidP="00EB605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</w:p>
    <w:p w:rsidR="00FA32CA" w:rsidRPr="00FA32CA" w:rsidRDefault="00FA32CA" w:rsidP="00694CC9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AF1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F1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F1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9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CC9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="00694CC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97">
        <w:rPr>
          <w:rFonts w:ascii="Times New Roman" w:hAnsi="Times New Roman" w:cs="Times New Roman"/>
          <w:sz w:val="24"/>
          <w:szCs w:val="24"/>
        </w:rPr>
        <w:t xml:space="preserve">internal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r w:rsidR="007C210E" w:rsidRPr="007C210E">
        <w:rPr>
          <w:rFonts w:ascii="Times New Roman" w:hAnsi="Times New Roman" w:cs="Times New Roman"/>
          <w:i/>
          <w:sz w:val="24"/>
          <w:szCs w:val="24"/>
        </w:rPr>
        <w:t>stake holder</w:t>
      </w:r>
      <w:r w:rsidR="008C6297">
        <w:rPr>
          <w:rFonts w:ascii="Times New Roman" w:hAnsi="Times New Roman" w:cs="Times New Roman"/>
          <w:sz w:val="24"/>
          <w:szCs w:val="24"/>
        </w:rPr>
        <w:t xml:space="preserve"> </w:t>
      </w:r>
      <w:r w:rsidR="002E7889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2020</w:t>
      </w:r>
      <w:r w:rsidR="00AF13BB">
        <w:rPr>
          <w:rFonts w:ascii="Times New Roman" w:hAnsi="Times New Roman" w:cs="Times New Roman"/>
          <w:sz w:val="24"/>
          <w:szCs w:val="24"/>
        </w:rPr>
        <w:t>.</w:t>
      </w:r>
    </w:p>
    <w:p w:rsidR="00FA32CA" w:rsidRDefault="00FA32CA" w:rsidP="00FA32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FA32CA" w:rsidRDefault="00FA32CA" w:rsidP="00FA32CA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23" w:rsidRPr="00BF4DF6" w:rsidRDefault="007C210E" w:rsidP="00BF4DF6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FA32CA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FA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CA">
        <w:rPr>
          <w:rFonts w:ascii="Times New Roman" w:hAnsi="Times New Roman" w:cs="Times New Roman"/>
          <w:sz w:val="24"/>
          <w:szCs w:val="24"/>
        </w:rPr>
        <w:t>da</w:t>
      </w:r>
      <w:r w:rsidR="00190E23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2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2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3BB">
        <w:rPr>
          <w:rFonts w:ascii="Times New Roman" w:hAnsi="Times New Roman" w:cs="Times New Roman"/>
          <w:sz w:val="24"/>
          <w:szCs w:val="24"/>
        </w:rPr>
        <w:t xml:space="preserve"> </w:t>
      </w:r>
      <w:r w:rsidR="00AF13BB" w:rsidRPr="00AF13BB">
        <w:rPr>
          <w:rFonts w:ascii="Times New Roman" w:hAnsi="Times New Roman" w:cs="Times New Roman"/>
          <w:i/>
          <w:sz w:val="24"/>
          <w:szCs w:val="24"/>
        </w:rPr>
        <w:t>stake holder</w:t>
      </w:r>
      <w:r w:rsidR="00AF13BB">
        <w:rPr>
          <w:rFonts w:ascii="Times New Roman" w:hAnsi="Times New Roman" w:cs="Times New Roman"/>
          <w:sz w:val="24"/>
          <w:szCs w:val="24"/>
        </w:rPr>
        <w:t xml:space="preserve"> </w:t>
      </w:r>
      <w:r w:rsidR="002E7889">
        <w:rPr>
          <w:rFonts w:ascii="Times New Roman" w:hAnsi="Times New Roman" w:cs="Times New Roman"/>
          <w:sz w:val="24"/>
          <w:szCs w:val="24"/>
        </w:rPr>
        <w:t xml:space="preserve">PPPPTK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AF1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E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4DF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r w:rsidR="00AF13BB" w:rsidRPr="00BF4DF6">
        <w:rPr>
          <w:rFonts w:ascii="Times New Roman" w:hAnsi="Times New Roman" w:cs="Times New Roman"/>
          <w:sz w:val="24"/>
          <w:szCs w:val="24"/>
        </w:rPr>
        <w:t xml:space="preserve">SOP,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F13BB" w:rsidRPr="00BF4DF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F13BB" w:rsidRP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13BB" w:rsidRP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57" w:rsidRPr="00BF4DF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2C4157" w:rsidRP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F13BB" w:rsidRPr="00BF4DF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C4157" w:rsidRP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57" w:rsidRPr="00BF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4157" w:rsidRP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57" w:rsidRPr="00BF4DF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AF13BB" w:rsidRPr="00BF4DF6">
        <w:rPr>
          <w:rFonts w:ascii="Times New Roman" w:hAnsi="Times New Roman" w:cs="Times New Roman"/>
          <w:sz w:val="24"/>
          <w:szCs w:val="24"/>
        </w:rPr>
        <w:t xml:space="preserve"> PPPPTK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AF13BB" w:rsidRP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3BB" w:rsidRP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BB" w:rsidRPr="00BF4DF6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2C4157" w:rsidRPr="00BF4DF6">
        <w:rPr>
          <w:rFonts w:ascii="Times New Roman" w:hAnsi="Times New Roman" w:cs="Times New Roman"/>
          <w:sz w:val="24"/>
          <w:szCs w:val="24"/>
        </w:rPr>
        <w:t>.</w:t>
      </w:r>
    </w:p>
    <w:p w:rsidR="00FA32CA" w:rsidRDefault="00190E23" w:rsidP="00FA32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p w:rsidR="00190E23" w:rsidRDefault="00190E23" w:rsidP="00190E23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23" w:rsidRPr="00774D76" w:rsidRDefault="00190E23" w:rsidP="00EB6059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79">
        <w:rPr>
          <w:rFonts w:ascii="Times New Roman" w:hAnsi="Times New Roman" w:cs="Times New Roman"/>
          <w:sz w:val="24"/>
          <w:szCs w:val="24"/>
        </w:rPr>
        <w:t>kue</w:t>
      </w:r>
      <w:r w:rsidR="008C6297">
        <w:rPr>
          <w:rFonts w:ascii="Times New Roman" w:hAnsi="Times New Roman" w:cs="Times New Roman"/>
          <w:sz w:val="24"/>
          <w:szCs w:val="24"/>
        </w:rPr>
        <w:t>sioner</w:t>
      </w:r>
      <w:proofErr w:type="spellEnd"/>
      <w:r w:rsidR="008C6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>
        <w:rPr>
          <w:rFonts w:ascii="Times New Roman" w:hAnsi="Times New Roman" w:cs="Times New Roman"/>
          <w:sz w:val="24"/>
          <w:szCs w:val="24"/>
        </w:rPr>
        <w:t>terbu</w:t>
      </w:r>
      <w:r w:rsidR="008D637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D6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="008D6379" w:rsidRPr="00BF4DF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D6379" w:rsidRPr="00BF4DF6">
        <w:rPr>
          <w:rFonts w:ascii="Times New Roman" w:hAnsi="Times New Roman" w:cs="Times New Roman"/>
          <w:sz w:val="24"/>
          <w:szCs w:val="24"/>
        </w:rPr>
        <w:t xml:space="preserve"> </w:t>
      </w:r>
      <w:r w:rsidR="00BF4DF6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>.</w:t>
      </w:r>
      <w:r w:rsidR="00EB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(SS),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(S),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(TS)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(STS).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D1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297" w:rsidRPr="00774D7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8C6297" w:rsidRPr="00774D76">
        <w:rPr>
          <w:rFonts w:ascii="Times New Roman" w:hAnsi="Times New Roman" w:cs="Times New Roman"/>
          <w:sz w:val="24"/>
          <w:szCs w:val="24"/>
        </w:rPr>
        <w:t>.</w:t>
      </w:r>
    </w:p>
    <w:p w:rsidR="008C6297" w:rsidRPr="00190E23" w:rsidRDefault="008C6297" w:rsidP="00190E23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E23" w:rsidRDefault="00DE04A2" w:rsidP="00FA32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</w:p>
    <w:p w:rsidR="00DE04A2" w:rsidRDefault="00DE04A2" w:rsidP="00DE04A2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4A2" w:rsidRDefault="00DE04A2" w:rsidP="00270506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4A2" w:rsidRPr="00DE04A2" w:rsidRDefault="00DE04A2" w:rsidP="00DE04A2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E04A2" w:rsidRDefault="00DE04A2" w:rsidP="00FA32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E04A2" w:rsidRDefault="00DE04A2" w:rsidP="00DE04A2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89" w:rsidRDefault="000B7898" w:rsidP="00270506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2E78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E7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889">
        <w:rPr>
          <w:rFonts w:ascii="Times New Roman" w:hAnsi="Times New Roman" w:cs="Times New Roman"/>
          <w:sz w:val="24"/>
          <w:szCs w:val="24"/>
        </w:rPr>
        <w:t xml:space="preserve">lain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89" w:rsidRDefault="002E7889" w:rsidP="002E788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6.67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13.3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2E7889" w:rsidRDefault="002E7889" w:rsidP="002E788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5.00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2E7889" w:rsidRDefault="002E7889" w:rsidP="002E788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3.33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6.67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ED656A" w:rsidRPr="00EB6059" w:rsidRDefault="00500E07" w:rsidP="00EB605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1.67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190E23" w:rsidRDefault="00190E23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</w:p>
    <w:p w:rsidR="00190E23" w:rsidRDefault="00190E23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E23" w:rsidRDefault="00190E23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HASIL-HASIL MONITORING DAN EVALUASI</w:t>
      </w:r>
    </w:p>
    <w:p w:rsidR="00DE04A2" w:rsidRDefault="00DE04A2" w:rsidP="00FA32CA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A2" w:rsidRPr="00BF4DF6" w:rsidRDefault="00A139BA" w:rsidP="00BF4DF6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7898">
        <w:rPr>
          <w:rFonts w:ascii="Times New Roman" w:hAnsi="Times New Roman" w:cs="Times New Roman"/>
          <w:sz w:val="24"/>
          <w:szCs w:val="24"/>
        </w:rPr>
        <w:t xml:space="preserve"> </w:t>
      </w:r>
      <w:r w:rsidR="00500E07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07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="005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6E5D" w:rsidRPr="004D54A2" w:rsidRDefault="007C2355" w:rsidP="004D54A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</w:t>
      </w:r>
      <w:r w:rsidR="00936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pengunna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36E5D">
        <w:rPr>
          <w:rFonts w:ascii="Times New Roman" w:hAnsi="Times New Roman" w:cs="Times New Roman"/>
          <w:sz w:val="24"/>
          <w:szCs w:val="24"/>
        </w:rPr>
        <w:t>.</w:t>
      </w:r>
    </w:p>
    <w:p w:rsidR="00936E5D" w:rsidRPr="00936E5D" w:rsidRDefault="00BF4DF6" w:rsidP="00936E5D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36E5D" w:rsidRPr="00936E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36E5D" w:rsidRPr="00936E5D">
        <w:rPr>
          <w:rFonts w:ascii="Times New Roman" w:hAnsi="Times New Roman" w:cs="Times New Roman"/>
          <w:b/>
          <w:sz w:val="24"/>
          <w:szCs w:val="24"/>
        </w:rPr>
        <w:t>Pe</w:t>
      </w:r>
      <w:r w:rsidR="00936E5D">
        <w:rPr>
          <w:rFonts w:ascii="Times New Roman" w:hAnsi="Times New Roman" w:cs="Times New Roman"/>
          <w:b/>
          <w:sz w:val="24"/>
          <w:szCs w:val="24"/>
        </w:rPr>
        <w:t>rsentase</w:t>
      </w:r>
      <w:proofErr w:type="spellEnd"/>
      <w:r w:rsidR="00936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="00936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E5D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936E5D">
        <w:rPr>
          <w:rFonts w:ascii="Times New Roman" w:hAnsi="Times New Roman" w:cs="Times New Roman"/>
          <w:b/>
          <w:sz w:val="24"/>
          <w:szCs w:val="24"/>
        </w:rPr>
        <w:t xml:space="preserve"> SOP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3"/>
        <w:gridCol w:w="1283"/>
      </w:tblGrid>
      <w:tr w:rsidR="00AC1DFD" w:rsidTr="00AC1DFD">
        <w:trPr>
          <w:trHeight w:val="420"/>
          <w:jc w:val="center"/>
        </w:trPr>
        <w:tc>
          <w:tcPr>
            <w:tcW w:w="1283" w:type="dxa"/>
            <w:vMerge w:val="restart"/>
          </w:tcPr>
          <w:p w:rsidR="00AC1DFD" w:rsidRDefault="00AC1DFD" w:rsidP="00AC1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132" w:type="dxa"/>
            <w:gridSpan w:val="4"/>
          </w:tcPr>
          <w:p w:rsidR="00AC1DFD" w:rsidRPr="00AC1DFD" w:rsidRDefault="00AC1DFD" w:rsidP="00AC1D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DFD">
              <w:rPr>
                <w:rFonts w:ascii="Times New Roman" w:hAnsi="Times New Roman" w:cs="Times New Roman"/>
                <w:b/>
                <w:sz w:val="24"/>
                <w:szCs w:val="24"/>
              </w:rPr>
              <w:t>Opsi</w:t>
            </w:r>
            <w:proofErr w:type="spellEnd"/>
            <w:r w:rsidRPr="00AC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DFD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AC1DFD" w:rsidTr="00AC1DFD">
        <w:trPr>
          <w:trHeight w:val="414"/>
          <w:jc w:val="center"/>
        </w:trPr>
        <w:tc>
          <w:tcPr>
            <w:tcW w:w="1283" w:type="dxa"/>
            <w:vMerge/>
          </w:tcPr>
          <w:p w:rsidR="00AC1DFD" w:rsidRDefault="00AC1DFD" w:rsidP="00AC1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C1DFD" w:rsidRPr="00AC1DFD" w:rsidRDefault="00AC1DFD" w:rsidP="00AC1DFD">
            <w:pPr>
              <w:pStyle w:val="ListParagraph"/>
              <w:tabs>
                <w:tab w:val="left" w:pos="7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F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1283" w:type="dxa"/>
          </w:tcPr>
          <w:p w:rsidR="00AC1DFD" w:rsidRPr="00AC1DFD" w:rsidRDefault="00AC1DFD" w:rsidP="00AC1D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F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283" w:type="dxa"/>
          </w:tcPr>
          <w:p w:rsidR="00AC1DFD" w:rsidRPr="00AC1DFD" w:rsidRDefault="00AC1DFD" w:rsidP="00AC1D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F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1283" w:type="dxa"/>
          </w:tcPr>
          <w:p w:rsidR="00AC1DFD" w:rsidRPr="00AC1DFD" w:rsidRDefault="00AC1DFD" w:rsidP="00AC1D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F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17.6470588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82.3529412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17.6470588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82.3529412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94.1176471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94.1176471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94.1176471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29.4117647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70.5882353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35.2941176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41.1764706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41.1764706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11.7647059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88.2352941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23.5294118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70.5882353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5.88235294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656A" w:rsidTr="00ED656A">
        <w:trPr>
          <w:jc w:val="center"/>
        </w:trPr>
        <w:tc>
          <w:tcPr>
            <w:tcW w:w="1283" w:type="dxa"/>
          </w:tcPr>
          <w:p w:rsidR="00ED656A" w:rsidRDefault="00ED656A" w:rsidP="00ED656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23.5294118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76.4705882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ED656A" w:rsidRDefault="00ED656A" w:rsidP="00ED6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7C2355" w:rsidRDefault="007C2355" w:rsidP="007C2355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C2355" w:rsidRDefault="007C2355" w:rsidP="007C2355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B6059" w:rsidRDefault="00EB6059" w:rsidP="007C2355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B6059" w:rsidRDefault="00EB6059" w:rsidP="007C2355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B6059" w:rsidRDefault="00EB6059" w:rsidP="007C2355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B6059" w:rsidRDefault="00EB6059" w:rsidP="007C2355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1D6A45" w:rsidRPr="00534EBF" w:rsidRDefault="001D6A45" w:rsidP="00534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B" w:rsidRDefault="005967DB" w:rsidP="005967DB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</w:p>
    <w:p w:rsidR="005967DB" w:rsidRDefault="005967DB" w:rsidP="005967DB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DB" w:rsidRDefault="005967DB" w:rsidP="005967DB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967DB" w:rsidRDefault="005967DB" w:rsidP="005967DB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DB" w:rsidRDefault="005967DB" w:rsidP="005967DB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DB" w:rsidRDefault="005967DB" w:rsidP="007C210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D3340" w:rsidRDefault="007C2355" w:rsidP="00EB6059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210E">
        <w:rPr>
          <w:rFonts w:ascii="Times New Roman" w:hAnsi="Times New Roman" w:cs="Times New Roman"/>
          <w:sz w:val="24"/>
          <w:szCs w:val="24"/>
        </w:rPr>
        <w:t>,</w:t>
      </w:r>
      <w:r w:rsidRPr="007C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5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55">
        <w:rPr>
          <w:rFonts w:ascii="Times New Roman" w:hAnsi="Times New Roman" w:cs="Times New Roman"/>
          <w:sz w:val="24"/>
          <w:szCs w:val="24"/>
        </w:rPr>
        <w:t>disebut</w:t>
      </w:r>
      <w:r w:rsidR="00186ED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90</w:t>
      </w:r>
      <w:r w:rsidR="006D334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6D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ED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PPPPTK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Bispar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DF6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>.</w:t>
      </w:r>
      <w:r w:rsidR="004D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59" w:rsidRPr="00186ED4" w:rsidRDefault="00EB6059" w:rsidP="00EB6059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5967DB" w:rsidRDefault="004D54A2" w:rsidP="005967D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Lanjut</w:t>
      </w:r>
      <w:proofErr w:type="spellEnd"/>
    </w:p>
    <w:p w:rsidR="0097436A" w:rsidRDefault="0097436A" w:rsidP="0097436A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36A" w:rsidRDefault="00EB6059" w:rsidP="00534EB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internet.</w:t>
      </w:r>
    </w:p>
    <w:p w:rsidR="004D54A2" w:rsidRDefault="00EB6059" w:rsidP="004D54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9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1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9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1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1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86E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di PPPPTK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D4">
        <w:rPr>
          <w:rFonts w:ascii="Times New Roman" w:hAnsi="Times New Roman" w:cs="Times New Roman"/>
          <w:sz w:val="24"/>
          <w:szCs w:val="24"/>
        </w:rPr>
        <w:t>Pariwasata</w:t>
      </w:r>
      <w:proofErr w:type="spellEnd"/>
      <w:r w:rsidR="00186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2B" w:rsidRDefault="0096212B" w:rsidP="00962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12B" w:rsidRDefault="0096212B" w:rsidP="00962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Default="006D3340" w:rsidP="00962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Default="006D3340" w:rsidP="00962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Default="006D3340" w:rsidP="00962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Pr="00EB6059" w:rsidRDefault="006D3340" w:rsidP="00EB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36A" w:rsidRPr="005967DB" w:rsidRDefault="0097436A" w:rsidP="00591F1E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436A" w:rsidRPr="0059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2A6"/>
    <w:multiLevelType w:val="hybridMultilevel"/>
    <w:tmpl w:val="7A5CAA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0358EA"/>
    <w:multiLevelType w:val="hybridMultilevel"/>
    <w:tmpl w:val="B72A33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1418A9"/>
    <w:multiLevelType w:val="hybridMultilevel"/>
    <w:tmpl w:val="6A48AE50"/>
    <w:lvl w:ilvl="0" w:tplc="9E20DC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5FF3082"/>
    <w:multiLevelType w:val="hybridMultilevel"/>
    <w:tmpl w:val="13364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0AB0"/>
    <w:multiLevelType w:val="hybridMultilevel"/>
    <w:tmpl w:val="C56E8C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F60219"/>
    <w:multiLevelType w:val="hybridMultilevel"/>
    <w:tmpl w:val="2A068CA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9BB0CAB"/>
    <w:multiLevelType w:val="hybridMultilevel"/>
    <w:tmpl w:val="156AE320"/>
    <w:lvl w:ilvl="0" w:tplc="88EADAC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BC2410C"/>
    <w:multiLevelType w:val="hybridMultilevel"/>
    <w:tmpl w:val="A8C29BC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3DC118C"/>
    <w:multiLevelType w:val="hybridMultilevel"/>
    <w:tmpl w:val="B860C4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77D5D38"/>
    <w:multiLevelType w:val="hybridMultilevel"/>
    <w:tmpl w:val="929AA474"/>
    <w:lvl w:ilvl="0" w:tplc="95508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C120465"/>
    <w:multiLevelType w:val="hybridMultilevel"/>
    <w:tmpl w:val="2A068CA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6B76F9"/>
    <w:multiLevelType w:val="hybridMultilevel"/>
    <w:tmpl w:val="0E74D02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19C0D0B"/>
    <w:multiLevelType w:val="hybridMultilevel"/>
    <w:tmpl w:val="2A068CA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5BA0FF7"/>
    <w:multiLevelType w:val="hybridMultilevel"/>
    <w:tmpl w:val="119AA91C"/>
    <w:lvl w:ilvl="0" w:tplc="88EC41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AA4022F"/>
    <w:multiLevelType w:val="hybridMultilevel"/>
    <w:tmpl w:val="CCA686CE"/>
    <w:lvl w:ilvl="0" w:tplc="2248AAB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F300E0C"/>
    <w:multiLevelType w:val="hybridMultilevel"/>
    <w:tmpl w:val="C8A883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8E13FA4"/>
    <w:multiLevelType w:val="hybridMultilevel"/>
    <w:tmpl w:val="EF2E690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DBC0B30"/>
    <w:multiLevelType w:val="hybridMultilevel"/>
    <w:tmpl w:val="C2BAFE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4C2859D2"/>
    <w:multiLevelType w:val="hybridMultilevel"/>
    <w:tmpl w:val="49E68510"/>
    <w:lvl w:ilvl="0" w:tplc="47CA9F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547595D"/>
    <w:multiLevelType w:val="hybridMultilevel"/>
    <w:tmpl w:val="17EAC6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BE6502D"/>
    <w:multiLevelType w:val="hybridMultilevel"/>
    <w:tmpl w:val="F6B2C1EA"/>
    <w:lvl w:ilvl="0" w:tplc="9E2805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0C52872"/>
    <w:multiLevelType w:val="hybridMultilevel"/>
    <w:tmpl w:val="20A00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71AC4"/>
    <w:multiLevelType w:val="hybridMultilevel"/>
    <w:tmpl w:val="46A82128"/>
    <w:lvl w:ilvl="0" w:tplc="E7F414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8932E9E"/>
    <w:multiLevelType w:val="hybridMultilevel"/>
    <w:tmpl w:val="2A068CA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CD9218F"/>
    <w:multiLevelType w:val="hybridMultilevel"/>
    <w:tmpl w:val="0DFE263A"/>
    <w:lvl w:ilvl="0" w:tplc="84FC58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300194C"/>
    <w:multiLevelType w:val="hybridMultilevel"/>
    <w:tmpl w:val="3654A4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9951F92"/>
    <w:multiLevelType w:val="hybridMultilevel"/>
    <w:tmpl w:val="D42891C4"/>
    <w:lvl w:ilvl="0" w:tplc="D0FA9E4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AB7025B"/>
    <w:multiLevelType w:val="hybridMultilevel"/>
    <w:tmpl w:val="F3B88F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EC46C5D"/>
    <w:multiLevelType w:val="hybridMultilevel"/>
    <w:tmpl w:val="A8C29BC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22"/>
  </w:num>
  <w:num w:numId="10">
    <w:abstractNumId w:val="26"/>
  </w:num>
  <w:num w:numId="11">
    <w:abstractNumId w:val="20"/>
  </w:num>
  <w:num w:numId="12">
    <w:abstractNumId w:val="24"/>
  </w:num>
  <w:num w:numId="13">
    <w:abstractNumId w:val="27"/>
  </w:num>
  <w:num w:numId="14">
    <w:abstractNumId w:val="19"/>
  </w:num>
  <w:num w:numId="15">
    <w:abstractNumId w:val="2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28"/>
  </w:num>
  <w:num w:numId="24">
    <w:abstractNumId w:val="16"/>
  </w:num>
  <w:num w:numId="25">
    <w:abstractNumId w:val="0"/>
  </w:num>
  <w:num w:numId="26">
    <w:abstractNumId w:val="15"/>
  </w:num>
  <w:num w:numId="27">
    <w:abstractNumId w:val="25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1"/>
    <w:rsid w:val="00016331"/>
    <w:rsid w:val="00043C56"/>
    <w:rsid w:val="00077A31"/>
    <w:rsid w:val="000B7898"/>
    <w:rsid w:val="000D3C49"/>
    <w:rsid w:val="000D3F1C"/>
    <w:rsid w:val="001310A2"/>
    <w:rsid w:val="00186ED4"/>
    <w:rsid w:val="00190E23"/>
    <w:rsid w:val="001A71CD"/>
    <w:rsid w:val="001D6A45"/>
    <w:rsid w:val="00270506"/>
    <w:rsid w:val="002C4157"/>
    <w:rsid w:val="002E7889"/>
    <w:rsid w:val="00304DD3"/>
    <w:rsid w:val="00400A8D"/>
    <w:rsid w:val="00446756"/>
    <w:rsid w:val="004D54A2"/>
    <w:rsid w:val="00500E07"/>
    <w:rsid w:val="0052382D"/>
    <w:rsid w:val="00534EBF"/>
    <w:rsid w:val="00554D47"/>
    <w:rsid w:val="00591F1E"/>
    <w:rsid w:val="005967DB"/>
    <w:rsid w:val="005F13C9"/>
    <w:rsid w:val="006353AB"/>
    <w:rsid w:val="006817CA"/>
    <w:rsid w:val="00694CC9"/>
    <w:rsid w:val="006D3340"/>
    <w:rsid w:val="006D4E7E"/>
    <w:rsid w:val="00710471"/>
    <w:rsid w:val="007258CA"/>
    <w:rsid w:val="00774D76"/>
    <w:rsid w:val="007B00B7"/>
    <w:rsid w:val="007C210E"/>
    <w:rsid w:val="007C2355"/>
    <w:rsid w:val="008C6297"/>
    <w:rsid w:val="008D3227"/>
    <w:rsid w:val="008D6379"/>
    <w:rsid w:val="00936E5D"/>
    <w:rsid w:val="0096212B"/>
    <w:rsid w:val="0096566A"/>
    <w:rsid w:val="0097436A"/>
    <w:rsid w:val="00A139BA"/>
    <w:rsid w:val="00A47230"/>
    <w:rsid w:val="00AC1DFD"/>
    <w:rsid w:val="00AF13BB"/>
    <w:rsid w:val="00AF7690"/>
    <w:rsid w:val="00B4325D"/>
    <w:rsid w:val="00B726CF"/>
    <w:rsid w:val="00BF4DF6"/>
    <w:rsid w:val="00C21D1C"/>
    <w:rsid w:val="00C47EFA"/>
    <w:rsid w:val="00CA4CFA"/>
    <w:rsid w:val="00CF7C0E"/>
    <w:rsid w:val="00D12CFE"/>
    <w:rsid w:val="00DA4AAC"/>
    <w:rsid w:val="00DE04A2"/>
    <w:rsid w:val="00E178BC"/>
    <w:rsid w:val="00E6427B"/>
    <w:rsid w:val="00EB6059"/>
    <w:rsid w:val="00EC3221"/>
    <w:rsid w:val="00ED656A"/>
    <w:rsid w:val="00F23C2C"/>
    <w:rsid w:val="00FA32CA"/>
    <w:rsid w:val="00FC1530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B6BF0-2703-4210-90C4-BFB0B07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21"/>
    <w:pPr>
      <w:ind w:left="720"/>
      <w:contextualSpacing/>
    </w:pPr>
  </w:style>
  <w:style w:type="table" w:styleId="TableGrid">
    <w:name w:val="Table Grid"/>
    <w:basedOn w:val="TableNormal"/>
    <w:uiPriority w:val="39"/>
    <w:rsid w:val="000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Rudi Prayitno</cp:lastModifiedBy>
  <cp:revision>17</cp:revision>
  <dcterms:created xsi:type="dcterms:W3CDTF">2019-04-23T02:32:00Z</dcterms:created>
  <dcterms:modified xsi:type="dcterms:W3CDTF">2020-07-02T08:28:00Z</dcterms:modified>
</cp:coreProperties>
</file>